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B989D" w14:textId="2AFB4DD9" w:rsidR="00BB2954" w:rsidRDefault="00411B1C">
      <w:r>
        <w:t xml:space="preserve">CPUC Comments on </w:t>
      </w:r>
      <w:r w:rsidR="00C17C22">
        <w:t>SW</w:t>
      </w:r>
      <w:r w:rsidR="008B3772">
        <w:t>HC04</w:t>
      </w:r>
      <w:r w:rsidR="005E1C24">
        <w:t>9</w:t>
      </w:r>
      <w:r w:rsidR="00C17C22">
        <w:t xml:space="preserve">-02 – </w:t>
      </w:r>
      <w:r w:rsidR="005E1C24">
        <w:t>SEER-Rated AC and HP Equipment, Residential</w:t>
      </w:r>
    </w:p>
    <w:p w14:paraId="2BA7A164" w14:textId="6F71DA1A" w:rsidR="004266C0" w:rsidRDefault="004266C0">
      <w:r>
        <w:t xml:space="preserve">Lead PA: </w:t>
      </w:r>
      <w:r w:rsidR="00C17C22">
        <w:t>SCE</w:t>
      </w:r>
    </w:p>
    <w:p w14:paraId="4BB68C7D" w14:textId="7ECEA33D" w:rsidR="009E1581" w:rsidRDefault="004266C0">
      <w:r>
        <w:t xml:space="preserve">Workpaper </w:t>
      </w:r>
      <w:r w:rsidR="008F1FF0">
        <w:t xml:space="preserve">Submittal Date: </w:t>
      </w:r>
      <w:r w:rsidR="00C17C22">
        <w:t>12/7/2020</w:t>
      </w:r>
    </w:p>
    <w:p w14:paraId="34C58858" w14:textId="3AC19B63" w:rsidR="00AB26AE" w:rsidRDefault="004266C0">
      <w:r>
        <w:t xml:space="preserve">CPUC Review Date: </w:t>
      </w:r>
      <w:r w:rsidR="003D278F">
        <w:t>02/</w:t>
      </w:r>
      <w:r w:rsidR="004D3A53">
        <w:t>1</w:t>
      </w:r>
      <w:r w:rsidR="00760B78">
        <w:t>2</w:t>
      </w:r>
      <w:r w:rsidR="003D278F">
        <w:t>/2021</w:t>
      </w:r>
    </w:p>
    <w:tbl>
      <w:tblPr>
        <w:tblStyle w:val="TableGrid"/>
        <w:tblpPr w:leftFromText="180" w:rightFromText="180" w:vertAnchor="page" w:horzAnchor="margin" w:tblpY="4537"/>
        <w:tblW w:w="0" w:type="auto"/>
        <w:tblLook w:val="04A0" w:firstRow="1" w:lastRow="0" w:firstColumn="1" w:lastColumn="0" w:noHBand="0" w:noVBand="1"/>
      </w:tblPr>
      <w:tblGrid>
        <w:gridCol w:w="4575"/>
        <w:gridCol w:w="4775"/>
      </w:tblGrid>
      <w:tr w:rsidR="004266C0" w14:paraId="75EEBFCB" w14:textId="77777777" w:rsidTr="008A1B6C">
        <w:tc>
          <w:tcPr>
            <w:tcW w:w="0" w:type="auto"/>
          </w:tcPr>
          <w:p w14:paraId="50F575CA" w14:textId="77777777" w:rsidR="004266C0" w:rsidRDefault="004266C0" w:rsidP="004266C0">
            <w:r>
              <w:t>CPUC Comment</w:t>
            </w:r>
          </w:p>
        </w:tc>
        <w:tc>
          <w:tcPr>
            <w:tcW w:w="0" w:type="auto"/>
          </w:tcPr>
          <w:p w14:paraId="73B4B0C7" w14:textId="77777777" w:rsidR="004266C0" w:rsidRDefault="004266C0" w:rsidP="004266C0">
            <w:r>
              <w:t>PA Response</w:t>
            </w:r>
          </w:p>
        </w:tc>
      </w:tr>
      <w:tr w:rsidR="004266C0" w14:paraId="3824AE26" w14:textId="77777777" w:rsidTr="008A1B6C">
        <w:tc>
          <w:tcPr>
            <w:tcW w:w="0" w:type="auto"/>
          </w:tcPr>
          <w:p w14:paraId="3288A387" w14:textId="77777777" w:rsidR="004266C0" w:rsidRDefault="00DB4F91" w:rsidP="004266C0">
            <w:r>
              <w:t>SDGE has adopted the first revision of this WP. Please reach out to them and ask if they intend to adopt this revision of the WP as well – if so, they will need to add their implementation codes.</w:t>
            </w:r>
          </w:p>
          <w:p w14:paraId="080982F4" w14:textId="77777777" w:rsidR="00BE66EE" w:rsidRDefault="00BE66EE" w:rsidP="004266C0"/>
          <w:p w14:paraId="5CE73338" w14:textId="77777777" w:rsidR="00933AFE" w:rsidRDefault="00BE66EE" w:rsidP="004266C0">
            <w:r>
              <w:t>No SDGE implementation codes in the EAD table.</w:t>
            </w:r>
          </w:p>
          <w:p w14:paraId="49E25A17" w14:textId="77777777" w:rsidR="00933AFE" w:rsidRDefault="00933AFE" w:rsidP="004266C0"/>
          <w:p w14:paraId="65895ACD" w14:textId="54DD526C" w:rsidR="00BE66EE" w:rsidRDefault="000E245E" w:rsidP="004266C0">
            <w:r>
              <w:rPr>
                <w:color w:val="FF0000"/>
              </w:rPr>
              <w:t xml:space="preserve">Verified that SDGE implementation IDs have been added. </w:t>
            </w:r>
            <w:r w:rsidR="00BE66EE">
              <w:t xml:space="preserve"> </w:t>
            </w:r>
          </w:p>
        </w:tc>
        <w:tc>
          <w:tcPr>
            <w:tcW w:w="0" w:type="auto"/>
          </w:tcPr>
          <w:p w14:paraId="616D4609" w14:textId="7995A030" w:rsidR="004266C0" w:rsidRDefault="00B5139B" w:rsidP="004266C0">
            <w:r>
              <w:t>EAD u</w:t>
            </w:r>
            <w:r w:rsidR="00536C5C">
              <w:t>pdated to include SDGE implementation IDs</w:t>
            </w:r>
            <w:r>
              <w:t xml:space="preserve">. </w:t>
            </w:r>
          </w:p>
        </w:tc>
      </w:tr>
      <w:tr w:rsidR="004266C0" w14:paraId="05E35CA3" w14:textId="77777777" w:rsidTr="008A1B6C">
        <w:tc>
          <w:tcPr>
            <w:tcW w:w="0" w:type="auto"/>
          </w:tcPr>
          <w:p w14:paraId="5803C25D" w14:textId="0486B49C" w:rsidR="00F8516D" w:rsidRDefault="00F8516D" w:rsidP="004266C0">
            <w:r>
              <w:t xml:space="preserve">Please clarify what is meant by furnace specified at part of the AC system. </w:t>
            </w:r>
          </w:p>
          <w:p w14:paraId="0F2208EF" w14:textId="77777777" w:rsidR="00F8516D" w:rsidRDefault="00F8516D" w:rsidP="004266C0"/>
          <w:p w14:paraId="2948B0D6" w14:textId="2344529D" w:rsidR="004266C0" w:rsidRDefault="00760B78" w:rsidP="004266C0">
            <w:r w:rsidRPr="00760B78">
              <w:t xml:space="preserve">For split </w:t>
            </w:r>
            <w:proofErr w:type="gramStart"/>
            <w:r w:rsidRPr="00760B78">
              <w:t>systems</w:t>
            </w:r>
            <w:proofErr w:type="gramEnd"/>
            <w:r w:rsidRPr="00760B78">
              <w:t xml:space="preserve"> the certification will specify an evaporator coil model and may specify additional components.  </w:t>
            </w:r>
            <w:r w:rsidRPr="00F8516D">
              <w:rPr>
                <w:highlight w:val="yellow"/>
              </w:rPr>
              <w:t>In some cases, a furnace is specified in the certificate.  In this case since the furnace is specified as part of the AC system it will not be eligible for a separate incentive.</w:t>
            </w:r>
            <w:r w:rsidRPr="00760B78">
              <w:t xml:space="preserve">  </w:t>
            </w:r>
          </w:p>
        </w:tc>
        <w:tc>
          <w:tcPr>
            <w:tcW w:w="0" w:type="auto"/>
          </w:tcPr>
          <w:p w14:paraId="64B4C480" w14:textId="24CD7869" w:rsidR="004266C0" w:rsidRDefault="003205D1" w:rsidP="004266C0">
            <w:r>
              <w:t xml:space="preserve">Agreed. There are no savings claimed from the furnace in the measure offerings. Hence, they should not be eligible for incentives. </w:t>
            </w:r>
          </w:p>
        </w:tc>
      </w:tr>
      <w:tr w:rsidR="004266C0" w14:paraId="634A2AC3" w14:textId="77777777" w:rsidTr="008A1B6C">
        <w:tc>
          <w:tcPr>
            <w:tcW w:w="0" w:type="auto"/>
          </w:tcPr>
          <w:p w14:paraId="1E795742" w14:textId="7A709012" w:rsidR="00760B78" w:rsidRDefault="00760B78" w:rsidP="004266C0">
            <w:r>
              <w:t xml:space="preserve">CPUC guidance has </w:t>
            </w:r>
            <w:r w:rsidR="00F8516D">
              <w:t xml:space="preserve">rejected – gas base case for electric-electric workpapers. Please remove </w:t>
            </w:r>
            <w:proofErr w:type="gramStart"/>
            <w:r w:rsidR="00F8516D">
              <w:t>this criteria</w:t>
            </w:r>
            <w:proofErr w:type="gramEnd"/>
            <w:r w:rsidR="00F8516D">
              <w:t>.</w:t>
            </w:r>
          </w:p>
          <w:p w14:paraId="62367845" w14:textId="77777777" w:rsidR="00760B78" w:rsidRDefault="00760B78" w:rsidP="004266C0"/>
          <w:p w14:paraId="41AD7736" w14:textId="77777777" w:rsidR="00760B78" w:rsidRDefault="00760B78" w:rsidP="004266C0"/>
          <w:p w14:paraId="19406F10" w14:textId="5EB0DA24" w:rsidR="004266C0" w:rsidRDefault="00760B78" w:rsidP="004266C0">
            <w:r w:rsidRPr="00760B78">
              <w:t xml:space="preserve">For new construction, installed equipment must be electric fueled.  </w:t>
            </w:r>
            <w:r w:rsidRPr="00760B78">
              <w:rPr>
                <w:highlight w:val="yellow"/>
              </w:rPr>
              <w:t>The Energy Standard or ISP baseline can be gas-fired</w:t>
            </w:r>
            <w:r w:rsidRPr="00760B78">
              <w:t>. However, measure’s energy savings and cost evaluation and reporting will be based on the difference between the electric Energy Standard baseline and electric measure case (including AC and HP equipment).</w:t>
            </w:r>
          </w:p>
        </w:tc>
        <w:tc>
          <w:tcPr>
            <w:tcW w:w="0" w:type="auto"/>
          </w:tcPr>
          <w:p w14:paraId="71B5D320" w14:textId="12ACAE8E" w:rsidR="004266C0" w:rsidRDefault="003205D1" w:rsidP="004266C0">
            <w:r w:rsidRPr="00B5139B">
              <w:rPr>
                <w:b/>
                <w:bCs/>
              </w:rPr>
              <w:t>Savings for the measure offerings are only claimed for electric-to-electric components</w:t>
            </w:r>
            <w:r>
              <w:t xml:space="preserve">. </w:t>
            </w:r>
          </w:p>
          <w:p w14:paraId="6C57FBEB" w14:textId="77777777" w:rsidR="00536C5C" w:rsidRDefault="00536C5C" w:rsidP="004266C0"/>
          <w:p w14:paraId="05B13855" w14:textId="292ADC73" w:rsidR="003205D1" w:rsidRDefault="003205D1" w:rsidP="004266C0">
            <w:r>
              <w:t xml:space="preserve">Gas furnaces that come </w:t>
            </w:r>
            <w:proofErr w:type="spellStart"/>
            <w:r>
              <w:t>among</w:t>
            </w:r>
            <w:proofErr w:type="spellEnd"/>
            <w:r>
              <w:t xml:space="preserve"> with central ACs are eligible but </w:t>
            </w:r>
            <w:r w:rsidR="00FA4A0D">
              <w:t>savings from only</w:t>
            </w:r>
            <w:r>
              <w:t xml:space="preserve"> electric </w:t>
            </w:r>
            <w:r w:rsidR="00FA4A0D">
              <w:t>enduse will be</w:t>
            </w:r>
            <w:r>
              <w:t xml:space="preserve"> claimed. </w:t>
            </w:r>
          </w:p>
          <w:p w14:paraId="6E1A0863" w14:textId="77777777" w:rsidR="00536C5C" w:rsidRDefault="00536C5C" w:rsidP="004266C0"/>
          <w:p w14:paraId="38837977" w14:textId="066865E7" w:rsidR="003205D1" w:rsidRDefault="003205D1" w:rsidP="004266C0">
            <w:r>
              <w:t xml:space="preserve">Since this is not a fuel substitution </w:t>
            </w:r>
            <w:r w:rsidR="00FA4A0D">
              <w:t>workpaper</w:t>
            </w:r>
            <w:r>
              <w:t xml:space="preserve">, if the customer selects a central AC with gas furnace, the product </w:t>
            </w:r>
            <w:r w:rsidR="00FA4A0D">
              <w:t>is considered</w:t>
            </w:r>
            <w:r>
              <w:t xml:space="preserve"> eligible as along as the electric portion is efficient</w:t>
            </w:r>
            <w:r w:rsidR="00FA4A0D">
              <w:t xml:space="preserve"> and only savings from electric to electric are eligible. </w:t>
            </w:r>
          </w:p>
          <w:p w14:paraId="57F168B1" w14:textId="38C92D44" w:rsidR="003205D1" w:rsidRDefault="003205D1" w:rsidP="004266C0">
            <w:r>
              <w:t xml:space="preserve"> </w:t>
            </w:r>
          </w:p>
        </w:tc>
      </w:tr>
      <w:tr w:rsidR="00760B78" w14:paraId="5320D157" w14:textId="77777777" w:rsidTr="009C114E">
        <w:trPr>
          <w:trHeight w:val="10880"/>
        </w:trPr>
        <w:tc>
          <w:tcPr>
            <w:tcW w:w="0" w:type="auto"/>
          </w:tcPr>
          <w:p w14:paraId="0F7DA8A3" w14:textId="0F9D27C1" w:rsidR="00760B78" w:rsidRDefault="00760B78" w:rsidP="004266C0">
            <w:r>
              <w:lastRenderedPageBreak/>
              <w:t>CPUC would like to see additional cost data regression on the lower and higher SEER values included in this regression. Please revise and include in new workpaper package.</w:t>
            </w:r>
          </w:p>
          <w:p w14:paraId="427F0FAE" w14:textId="77777777" w:rsidR="00760B78" w:rsidRDefault="00760B78" w:rsidP="004266C0"/>
          <w:p w14:paraId="7BAF78BC" w14:textId="77777777" w:rsidR="00760B78" w:rsidRDefault="00760B78" w:rsidP="004266C0">
            <w:r>
              <w:t>“</w:t>
            </w:r>
            <w:r w:rsidRPr="00760B78">
              <w:t xml:space="preserve">This linear regression model was used to smoothen the cost trend and was used to </w:t>
            </w:r>
            <w:r w:rsidRPr="00760B78">
              <w:rPr>
                <w:highlight w:val="yellow"/>
              </w:rPr>
              <w:t>extrapolate the costs of SEER14 (standard baseline model) and SEER21</w:t>
            </w:r>
            <w:r w:rsidRPr="00760B78">
              <w:t>. This approach was deemed reasonable given the variability of cost data.</w:t>
            </w:r>
            <w:r>
              <w:t>”</w:t>
            </w:r>
          </w:p>
          <w:p w14:paraId="44BB2287" w14:textId="77777777" w:rsidR="00644BB0" w:rsidRDefault="00644BB0" w:rsidP="004266C0"/>
          <w:p w14:paraId="5BB14B97" w14:textId="7E710FF8" w:rsidR="00644BB0" w:rsidRPr="00644BB0" w:rsidRDefault="00644BB0" w:rsidP="004266C0">
            <w:pPr>
              <w:rPr>
                <w:color w:val="FF0000"/>
              </w:rPr>
            </w:pPr>
            <w:r w:rsidRPr="00644BB0">
              <w:rPr>
                <w:color w:val="FF0000"/>
              </w:rPr>
              <w:t xml:space="preserve">03/10: </w:t>
            </w:r>
            <w:r>
              <w:rPr>
                <w:color w:val="FF0000"/>
              </w:rPr>
              <w:t xml:space="preserve">SEER18 is halfway from SEER21. Only 3% of the products fall in the range of SEER19 to SEER21. CPUC would like to see more data on the higher SEER range. </w:t>
            </w:r>
          </w:p>
          <w:p w14:paraId="1773DCE4" w14:textId="77777777" w:rsidR="00644BB0" w:rsidRDefault="00644BB0" w:rsidP="004266C0"/>
          <w:p w14:paraId="16CDD89A" w14:textId="3BADD93D" w:rsidR="00644BB0" w:rsidRPr="00760B78" w:rsidRDefault="00644BB0" w:rsidP="004266C0"/>
        </w:tc>
        <w:tc>
          <w:tcPr>
            <w:tcW w:w="0" w:type="auto"/>
          </w:tcPr>
          <w:p w14:paraId="42564708" w14:textId="7AA5EFD2" w:rsidR="008A1B6C" w:rsidRDefault="00FA2298" w:rsidP="004266C0">
            <w:r>
              <w:t xml:space="preserve">On the low end </w:t>
            </w:r>
            <w:r w:rsidR="008A1B6C">
              <w:t xml:space="preserve">of SEER </w:t>
            </w:r>
            <w:r w:rsidR="00FA4A0D">
              <w:t>ratings, SEER</w:t>
            </w:r>
            <w:r>
              <w:t>14 data was not available f</w:t>
            </w:r>
            <w:r w:rsidR="008A1B6C">
              <w:t>rom programs data because it is a code minimum. When web resources were consulted</w:t>
            </w:r>
            <w:r w:rsidR="00FA4A0D">
              <w:t xml:space="preserve"> for costs</w:t>
            </w:r>
            <w:r w:rsidR="008A1B6C">
              <w:t>, there is a huge variability in cost</w:t>
            </w:r>
            <w:r w:rsidR="00FA4A0D">
              <w:t xml:space="preserve"> information</w:t>
            </w:r>
            <w:r w:rsidR="008A1B6C">
              <w:t xml:space="preserve">. </w:t>
            </w:r>
          </w:p>
          <w:p w14:paraId="34611694" w14:textId="77777777" w:rsidR="00536C5C" w:rsidRDefault="00536C5C" w:rsidP="004266C0"/>
          <w:p w14:paraId="2D85E67E" w14:textId="77C0A404" w:rsidR="008A1B6C" w:rsidRDefault="008A1B6C" w:rsidP="004266C0">
            <w:r>
              <w:t xml:space="preserve">In the previous version of this workpaper v01, the costs were based on data from US Energy Information Administration, 2018 document which has material cost for SEER14 unit estimated at $1,116.67/ ton. The cost estimated in this version using extrapolation approach is $1070.04 is about 4% lower. Hence, the extrapolation was deemed reasonable. </w:t>
            </w:r>
          </w:p>
          <w:p w14:paraId="53312A32" w14:textId="202CB44E" w:rsidR="008A1B6C" w:rsidRDefault="008A1B6C" w:rsidP="004266C0"/>
          <w:p w14:paraId="53F1ADB6" w14:textId="52EDE79A" w:rsidR="008A1B6C" w:rsidRDefault="008A1B6C" w:rsidP="008A1B6C">
            <w:r>
              <w:t xml:space="preserve">Regarding costs on the higher end SEER ratings, 14% of the products used for the linear regression were SEER18 rated indicating reasonable representation.  </w:t>
            </w:r>
          </w:p>
          <w:p w14:paraId="0BDAD172" w14:textId="232E3102" w:rsidR="00644BB0" w:rsidRDefault="00644BB0" w:rsidP="008A1B6C"/>
          <w:p w14:paraId="4BF52FE3" w14:textId="31BCF172" w:rsidR="00B47654" w:rsidRDefault="00143CB3" w:rsidP="00B47654">
            <w:pPr>
              <w:spacing w:before="120" w:after="120" w:line="220" w:lineRule="atLeast"/>
              <w:contextualSpacing/>
              <w:rPr>
                <w:color w:val="FF0000"/>
              </w:rPr>
            </w:pPr>
            <w:r w:rsidRPr="00B47654">
              <w:rPr>
                <w:color w:val="FF0000"/>
              </w:rPr>
              <w:t>03/30/2021 –</w:t>
            </w:r>
            <w:r w:rsidR="009A2935" w:rsidRPr="00B47654">
              <w:rPr>
                <w:color w:val="FF0000"/>
              </w:rPr>
              <w:t xml:space="preserve"> </w:t>
            </w:r>
            <w:r w:rsidR="004F6582">
              <w:rPr>
                <w:color w:val="FF0000"/>
              </w:rPr>
              <w:t>Cost updated with l</w:t>
            </w:r>
            <w:r w:rsidR="00335977" w:rsidRPr="00B47654">
              <w:rPr>
                <w:color w:val="FF0000"/>
              </w:rPr>
              <w:t>atest program data</w:t>
            </w:r>
            <w:r w:rsidR="004F6582">
              <w:rPr>
                <w:color w:val="FF0000"/>
              </w:rPr>
              <w:t xml:space="preserve">, e.g., </w:t>
            </w:r>
            <w:r w:rsidR="004F6582" w:rsidRPr="00B47654">
              <w:rPr>
                <w:color w:val="FF0000"/>
              </w:rPr>
              <w:t>SCE’s Residential HVAC program</w:t>
            </w:r>
            <w:r w:rsidR="004F6582" w:rsidRPr="00B47654">
              <w:rPr>
                <w:color w:val="FF0000"/>
              </w:rPr>
              <w:t xml:space="preserve"> </w:t>
            </w:r>
            <w:r w:rsidR="00335977" w:rsidRPr="00B47654">
              <w:rPr>
                <w:color w:val="FF0000"/>
              </w:rPr>
              <w:t xml:space="preserve">from </w:t>
            </w:r>
            <w:r w:rsidR="009A2935" w:rsidRPr="00B47654">
              <w:rPr>
                <w:color w:val="FF0000"/>
              </w:rPr>
              <w:t>March 2020 to March 2021</w:t>
            </w:r>
            <w:r w:rsidR="00F011DE" w:rsidRPr="00B47654">
              <w:rPr>
                <w:color w:val="FF0000"/>
              </w:rPr>
              <w:t xml:space="preserve">. </w:t>
            </w:r>
            <w:r w:rsidR="00B47654" w:rsidRPr="00B47654">
              <w:rPr>
                <w:color w:val="FF0000"/>
              </w:rPr>
              <w:t xml:space="preserve"> This data had distributor cost for 1871 central heat pumps (HPs).</w:t>
            </w:r>
            <w:r w:rsidR="00B47654">
              <w:rPr>
                <w:color w:val="FF0000"/>
              </w:rPr>
              <w:t xml:space="preserve"> </w:t>
            </w:r>
            <w:r w:rsidR="00030A51">
              <w:rPr>
                <w:color w:val="FF0000"/>
              </w:rPr>
              <w:t xml:space="preserve">Of there 14% of the installations were SEER 19 units. However, SEER 20 and SEER 21 has a small </w:t>
            </w:r>
            <w:r w:rsidR="001425FA">
              <w:rPr>
                <w:color w:val="FF0000"/>
              </w:rPr>
              <w:t>representation, 55 and 8 installations respectively</w:t>
            </w:r>
            <w:r w:rsidR="003020B7">
              <w:rPr>
                <w:color w:val="FF0000"/>
              </w:rPr>
              <w:t>,</w:t>
            </w:r>
            <w:r w:rsidR="001425FA">
              <w:rPr>
                <w:color w:val="FF0000"/>
              </w:rPr>
              <w:t xml:space="preserve"> representing about 3% of total products. </w:t>
            </w:r>
          </w:p>
          <w:p w14:paraId="42AB5991" w14:textId="2EF39111" w:rsidR="00237B88" w:rsidRDefault="003020B7" w:rsidP="00B47654">
            <w:pPr>
              <w:spacing w:before="120" w:after="120" w:line="220" w:lineRule="atLeast"/>
              <w:contextualSpacing/>
              <w:rPr>
                <w:b/>
                <w:bCs/>
                <w:color w:val="FF0000"/>
              </w:rPr>
            </w:pPr>
            <w:r w:rsidRPr="004F6582">
              <w:rPr>
                <w:b/>
                <w:bCs/>
                <w:color w:val="FF0000"/>
                <w:highlight w:val="yellow"/>
              </w:rPr>
              <w:t xml:space="preserve">There is </w:t>
            </w:r>
            <w:r w:rsidR="00897445" w:rsidRPr="004F6582">
              <w:rPr>
                <w:b/>
                <w:bCs/>
                <w:color w:val="FF0000"/>
                <w:highlight w:val="yellow"/>
              </w:rPr>
              <w:t>also limited if not non</w:t>
            </w:r>
            <w:r w:rsidR="00237B88" w:rsidRPr="004F6582">
              <w:rPr>
                <w:b/>
                <w:bCs/>
                <w:color w:val="FF0000"/>
                <w:highlight w:val="yellow"/>
              </w:rPr>
              <w:t xml:space="preserve">e, </w:t>
            </w:r>
            <w:r w:rsidR="00897445" w:rsidRPr="004F6582">
              <w:rPr>
                <w:b/>
                <w:bCs/>
                <w:color w:val="FF0000"/>
                <w:highlight w:val="yellow"/>
              </w:rPr>
              <w:t>unbiased information available from the web for the costs of high SEER units.</w:t>
            </w:r>
            <w:r w:rsidR="00897445" w:rsidRPr="004F6582">
              <w:rPr>
                <w:b/>
                <w:bCs/>
                <w:color w:val="FF0000"/>
              </w:rPr>
              <w:t xml:space="preserve"> </w:t>
            </w:r>
          </w:p>
          <w:p w14:paraId="511101B5" w14:textId="77777777" w:rsidR="004F6582" w:rsidRPr="004F6582" w:rsidRDefault="004F6582" w:rsidP="00B47654">
            <w:pPr>
              <w:spacing w:before="120" w:after="120" w:line="220" w:lineRule="atLeast"/>
              <w:contextualSpacing/>
              <w:rPr>
                <w:b/>
                <w:bCs/>
                <w:color w:val="FF0000"/>
              </w:rPr>
            </w:pPr>
          </w:p>
          <w:p w14:paraId="69CAADCB" w14:textId="3C62A227" w:rsidR="003020B7" w:rsidRPr="003020B7" w:rsidRDefault="00897445" w:rsidP="00B47654">
            <w:pPr>
              <w:spacing w:before="120" w:after="120" w:line="220" w:lineRule="atLeast"/>
              <w:contextualSpacing/>
              <w:rPr>
                <w:color w:val="FF0000"/>
              </w:rPr>
            </w:pPr>
            <w:r>
              <w:rPr>
                <w:color w:val="FF0000"/>
              </w:rPr>
              <w:t>Hence</w:t>
            </w:r>
            <w:r w:rsidR="00237B88">
              <w:rPr>
                <w:color w:val="FF0000"/>
              </w:rPr>
              <w:t>,</w:t>
            </w:r>
            <w:r>
              <w:rPr>
                <w:color w:val="FF0000"/>
              </w:rPr>
              <w:t xml:space="preserve"> </w:t>
            </w:r>
            <w:r w:rsidR="004F6582">
              <w:rPr>
                <w:color w:val="FF0000"/>
              </w:rPr>
              <w:t xml:space="preserve">SCE’s </w:t>
            </w:r>
            <w:r>
              <w:rPr>
                <w:color w:val="FF0000"/>
              </w:rPr>
              <w:t xml:space="preserve">recommend </w:t>
            </w:r>
            <w:r w:rsidR="00237B88">
              <w:rPr>
                <w:color w:val="FF0000"/>
              </w:rPr>
              <w:t>estimating the cost of these SEER 20 and SEER 21 units using the regression fit developed for SEER 15 to SEER 19 units</w:t>
            </w:r>
            <w:r w:rsidR="004F6582">
              <w:rPr>
                <w:color w:val="FF0000"/>
              </w:rPr>
              <w:t xml:space="preserve"> (including referenced data points for SEER 20 and 21)</w:t>
            </w:r>
            <w:r w:rsidR="00237B88">
              <w:rPr>
                <w:color w:val="FF0000"/>
              </w:rPr>
              <w:t xml:space="preserve">. This regression fit </w:t>
            </w:r>
            <w:r w:rsidR="000B1A1A">
              <w:rPr>
                <w:color w:val="FF0000"/>
              </w:rPr>
              <w:t>can</w:t>
            </w:r>
            <w:r w:rsidR="00237B88">
              <w:rPr>
                <w:color w:val="FF0000"/>
              </w:rPr>
              <w:t xml:space="preserve"> </w:t>
            </w:r>
            <w:r w:rsidR="00D60FD8">
              <w:rPr>
                <w:color w:val="FF0000"/>
              </w:rPr>
              <w:t xml:space="preserve">explain 88% of the variability </w:t>
            </w:r>
            <w:r w:rsidR="00A40FCA">
              <w:rPr>
                <w:color w:val="FF0000"/>
              </w:rPr>
              <w:t>between SEER rating and cost</w:t>
            </w:r>
            <w:r w:rsidR="00937D1E">
              <w:rPr>
                <w:color w:val="FF0000"/>
              </w:rPr>
              <w:t xml:space="preserve">. </w:t>
            </w:r>
            <w:r w:rsidR="000F3469">
              <w:rPr>
                <w:color w:val="FF0000"/>
              </w:rPr>
              <w:t>For the</w:t>
            </w:r>
            <w:r w:rsidR="00681BAF">
              <w:rPr>
                <w:color w:val="FF0000"/>
              </w:rPr>
              <w:t xml:space="preserve"> future versions of the work</w:t>
            </w:r>
            <w:r w:rsidR="000F3469">
              <w:rPr>
                <w:color w:val="FF0000"/>
              </w:rPr>
              <w:t>p</w:t>
            </w:r>
            <w:r w:rsidR="00681BAF">
              <w:rPr>
                <w:color w:val="FF0000"/>
              </w:rPr>
              <w:t xml:space="preserve">aper, </w:t>
            </w:r>
            <w:r w:rsidR="007541AF" w:rsidRPr="007541AF">
              <w:rPr>
                <w:color w:val="FF0000"/>
              </w:rPr>
              <w:t xml:space="preserve">it is expected that more data points will be available for these high SEER units and their costs will be estimated with better confidence. </w:t>
            </w:r>
          </w:p>
          <w:p w14:paraId="3E1AD718" w14:textId="183AE53E" w:rsidR="00143CB3" w:rsidRDefault="00143CB3" w:rsidP="008A1B6C">
            <w:pPr>
              <w:rPr>
                <w:color w:val="FF0000"/>
              </w:rPr>
            </w:pPr>
          </w:p>
          <w:p w14:paraId="4FFD6354" w14:textId="46D866E8" w:rsidR="00F011DE" w:rsidRDefault="00F011DE" w:rsidP="008A1B6C">
            <w:pPr>
              <w:rPr>
                <w:color w:val="FF0000"/>
              </w:rPr>
            </w:pPr>
          </w:p>
          <w:p w14:paraId="76F0A081" w14:textId="77777777" w:rsidR="00F011DE" w:rsidRPr="00143CB3" w:rsidRDefault="00F011DE" w:rsidP="008A1B6C">
            <w:pPr>
              <w:rPr>
                <w:color w:val="FF0000"/>
              </w:rPr>
            </w:pPr>
          </w:p>
          <w:p w14:paraId="2AB79E68" w14:textId="77777777" w:rsidR="00644BB0" w:rsidRDefault="00644BB0" w:rsidP="008A1B6C"/>
          <w:p w14:paraId="71FB5CB7" w14:textId="6065AB00" w:rsidR="008A1B6C" w:rsidRDefault="008A1B6C" w:rsidP="004266C0"/>
        </w:tc>
      </w:tr>
    </w:tbl>
    <w:p w14:paraId="72C6D87B" w14:textId="00E2F28A" w:rsidR="00047FC1" w:rsidRDefault="00047FC1" w:rsidP="00047FC1">
      <w:r w:rsidRPr="00047FC1">
        <w:lastRenderedPageBreak/>
        <w:t>Please note response</w:t>
      </w:r>
      <w:r>
        <w:t>s</w:t>
      </w:r>
      <w:r w:rsidRPr="00047FC1">
        <w:t xml:space="preserve"> to comments in the table</w:t>
      </w:r>
      <w:r>
        <w:t xml:space="preserve"> below</w:t>
      </w:r>
      <w:r w:rsidRPr="00047FC1">
        <w:t xml:space="preserve">, revise workpaper, and upload </w:t>
      </w:r>
      <w:r w:rsidR="008963E4">
        <w:t xml:space="preserve">the entire package </w:t>
      </w:r>
      <w:r w:rsidRPr="00047FC1">
        <w:t xml:space="preserve">to the WPA. If needed, please reach out to </w:t>
      </w:r>
      <w:r w:rsidR="006C6E3A">
        <w:t>Workpaper</w:t>
      </w:r>
      <w:r w:rsidR="00F00D47">
        <w:t xml:space="preserve"> Review T</w:t>
      </w:r>
      <w:r w:rsidRPr="00047FC1">
        <w:t>eam to set up a call to discuss.</w:t>
      </w:r>
    </w:p>
    <w:sectPr w:rsidR="00047F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F14623"/>
    <w:multiLevelType w:val="hybridMultilevel"/>
    <w:tmpl w:val="FA6E0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435948"/>
    <w:multiLevelType w:val="hybridMultilevel"/>
    <w:tmpl w:val="DE224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BB"/>
    <w:rsid w:val="00016F16"/>
    <w:rsid w:val="00030A51"/>
    <w:rsid w:val="00047FC1"/>
    <w:rsid w:val="00096A19"/>
    <w:rsid w:val="000B1A1A"/>
    <w:rsid w:val="000E245E"/>
    <w:rsid w:val="000F3469"/>
    <w:rsid w:val="00131866"/>
    <w:rsid w:val="001425FA"/>
    <w:rsid w:val="00143CB3"/>
    <w:rsid w:val="001C59AF"/>
    <w:rsid w:val="00237B88"/>
    <w:rsid w:val="002A755F"/>
    <w:rsid w:val="002E05AF"/>
    <w:rsid w:val="002F3DBF"/>
    <w:rsid w:val="003020B7"/>
    <w:rsid w:val="003205D1"/>
    <w:rsid w:val="00335977"/>
    <w:rsid w:val="003574B0"/>
    <w:rsid w:val="003D278F"/>
    <w:rsid w:val="003E79B7"/>
    <w:rsid w:val="00411B1C"/>
    <w:rsid w:val="004266C0"/>
    <w:rsid w:val="004D3A53"/>
    <w:rsid w:val="004E7F9C"/>
    <w:rsid w:val="004F6582"/>
    <w:rsid w:val="00536C5C"/>
    <w:rsid w:val="005E1C24"/>
    <w:rsid w:val="00640DF7"/>
    <w:rsid w:val="00644BB0"/>
    <w:rsid w:val="00681BAF"/>
    <w:rsid w:val="006C6E3A"/>
    <w:rsid w:val="006F56C1"/>
    <w:rsid w:val="007541AF"/>
    <w:rsid w:val="00760B78"/>
    <w:rsid w:val="0077493A"/>
    <w:rsid w:val="00791A22"/>
    <w:rsid w:val="008963E4"/>
    <w:rsid w:val="00897445"/>
    <w:rsid w:val="008A1B6C"/>
    <w:rsid w:val="008B3772"/>
    <w:rsid w:val="008F1FF0"/>
    <w:rsid w:val="00905B03"/>
    <w:rsid w:val="00933AFE"/>
    <w:rsid w:val="00937D1E"/>
    <w:rsid w:val="009A2935"/>
    <w:rsid w:val="009C114E"/>
    <w:rsid w:val="009E1581"/>
    <w:rsid w:val="00A40FCA"/>
    <w:rsid w:val="00A834E9"/>
    <w:rsid w:val="00AB26AE"/>
    <w:rsid w:val="00AC21BB"/>
    <w:rsid w:val="00AD3DAD"/>
    <w:rsid w:val="00B47654"/>
    <w:rsid w:val="00B5139B"/>
    <w:rsid w:val="00B8145B"/>
    <w:rsid w:val="00BA4AC4"/>
    <w:rsid w:val="00BB2954"/>
    <w:rsid w:val="00BE66EE"/>
    <w:rsid w:val="00C17C22"/>
    <w:rsid w:val="00CE69EE"/>
    <w:rsid w:val="00D60FD8"/>
    <w:rsid w:val="00DB4F91"/>
    <w:rsid w:val="00EC4C2D"/>
    <w:rsid w:val="00F00D47"/>
    <w:rsid w:val="00F011DE"/>
    <w:rsid w:val="00F137A5"/>
    <w:rsid w:val="00F42998"/>
    <w:rsid w:val="00F8516D"/>
    <w:rsid w:val="00FA2298"/>
    <w:rsid w:val="00FA4A0D"/>
    <w:rsid w:val="00FB0581"/>
    <w:rsid w:val="00F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27D1F"/>
  <w15:chartTrackingRefBased/>
  <w15:docId w15:val="{B0E902E8-C86F-484F-AAC1-C67BE5D1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2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3DAD"/>
    <w:pPr>
      <w:spacing w:after="0" w:line="240" w:lineRule="auto"/>
      <w:ind w:left="720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9E1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1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15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1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5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5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Kerri-Ann Richard</dc:creator>
  <cp:keywords/>
  <dc:description/>
  <cp:lastModifiedBy>Andres Fergadiotti</cp:lastModifiedBy>
  <cp:revision>2</cp:revision>
  <dcterms:created xsi:type="dcterms:W3CDTF">2021-03-31T18:22:00Z</dcterms:created>
  <dcterms:modified xsi:type="dcterms:W3CDTF">2021-03-31T18:22:00Z</dcterms:modified>
</cp:coreProperties>
</file>